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06d17ecb-30ac-43f8-8b9d-9dadb38976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49881f0b34099f5dea07eb8063610538">
  <xsd:schema xmlns:xsd="http://www.w3.org/2001/XMLSchema" xmlns:xs="http://www.w3.org/2001/XMLSchema" xmlns:p="http://schemas.microsoft.com/office/2006/metadata/properties" xmlns:ns1="http://schemas.microsoft.com/sharepoint/v3" xmlns:ns2="06d17ecb-30ac-43f8-8b9d-9dadb38976b5" targetNamespace="http://schemas.microsoft.com/office/2006/metadata/properties" ma:root="true" ma:fieldsID="ce97cdb9dbbed912885a1d684453a9e5" ns1:_="" ns2:_="">
    <xsd:import namespace="http://schemas.microsoft.com/sharepoint/v3"/>
    <xsd:import namespace="06d17ecb-30ac-43f8-8b9d-9dadb38976b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17ecb-30ac-43f8-8b9d-9dadb38976b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3FE3559B-6DF7-4F36-9C89-10A9E52534AA}"/>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